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DB" w:rsidRDefault="002F230E" w:rsidP="002F230E">
      <w:pPr>
        <w:ind w:left="567" w:right="624"/>
        <w:contextualSpacing/>
        <w:rPr>
          <w:rFonts w:ascii="Times New Roman" w:hAnsi="Times New Roman" w:cs="Times New Roman"/>
          <w:i/>
          <w:sz w:val="24"/>
          <w:szCs w:val="24"/>
        </w:rPr>
      </w:pPr>
      <w:r>
        <w:rPr>
          <w:rFonts w:ascii="Times New Roman" w:hAnsi="Times New Roman" w:cs="Times New Roman"/>
          <w:i/>
          <w:sz w:val="24"/>
          <w:szCs w:val="24"/>
        </w:rPr>
        <w:t>7.11.1944</w:t>
      </w:r>
    </w:p>
    <w:p w:rsidR="002F230E" w:rsidRDefault="002F230E" w:rsidP="002F230E">
      <w:pPr>
        <w:ind w:left="567" w:right="624"/>
        <w:contextualSpacing/>
        <w:rPr>
          <w:rFonts w:ascii="Times New Roman" w:hAnsi="Times New Roman" w:cs="Times New Roman"/>
          <w:i/>
          <w:sz w:val="24"/>
          <w:szCs w:val="24"/>
        </w:rPr>
      </w:pPr>
    </w:p>
    <w:p w:rsidR="002F230E" w:rsidRDefault="002F230E" w:rsidP="002F230E">
      <w:pPr>
        <w:ind w:left="567" w:right="624"/>
        <w:contextualSpacing/>
        <w:jc w:val="center"/>
        <w:rPr>
          <w:rFonts w:ascii="Times New Roman" w:hAnsi="Times New Roman" w:cs="Times New Roman"/>
          <w:b/>
          <w:sz w:val="24"/>
          <w:szCs w:val="24"/>
        </w:rPr>
      </w:pPr>
      <w:r>
        <w:rPr>
          <w:rFonts w:ascii="Times New Roman" w:hAnsi="Times New Roman" w:cs="Times New Roman"/>
          <w:b/>
          <w:sz w:val="24"/>
          <w:szCs w:val="24"/>
        </w:rPr>
        <w:t>TSCHAİKOWSKY</w:t>
      </w:r>
    </w:p>
    <w:p w:rsidR="002F230E" w:rsidRDefault="002F230E" w:rsidP="002F230E">
      <w:pPr>
        <w:ind w:left="567" w:right="624"/>
        <w:contextualSpacing/>
        <w:jc w:val="center"/>
        <w:rPr>
          <w:rFonts w:ascii="Times New Roman" w:hAnsi="Times New Roman" w:cs="Times New Roman"/>
          <w:b/>
          <w:sz w:val="24"/>
          <w:szCs w:val="24"/>
        </w:rPr>
      </w:pPr>
      <w:r>
        <w:rPr>
          <w:rFonts w:ascii="Times New Roman" w:hAnsi="Times New Roman" w:cs="Times New Roman"/>
          <w:b/>
          <w:sz w:val="24"/>
          <w:szCs w:val="24"/>
        </w:rPr>
        <w:t>(Piyano konçertosu Op.23, Si-bemol minör, 1875)</w:t>
      </w:r>
    </w:p>
    <w:p w:rsidR="002F230E" w:rsidRDefault="002F230E" w:rsidP="002F230E">
      <w:pPr>
        <w:ind w:left="567" w:right="624"/>
        <w:contextualSpacing/>
        <w:jc w:val="center"/>
        <w:rPr>
          <w:rFonts w:ascii="Times New Roman" w:hAnsi="Times New Roman" w:cs="Times New Roman"/>
          <w:b/>
          <w:sz w:val="24"/>
          <w:szCs w:val="24"/>
        </w:rPr>
      </w:pPr>
    </w:p>
    <w:p w:rsidR="002F230E" w:rsidRDefault="002F230E" w:rsidP="002F230E">
      <w:pPr>
        <w:ind w:left="567" w:right="624"/>
        <w:contextualSpacing/>
        <w:jc w:val="center"/>
        <w:rPr>
          <w:rFonts w:ascii="Times New Roman" w:hAnsi="Times New Roman" w:cs="Times New Roman"/>
          <w:b/>
          <w:sz w:val="24"/>
          <w:szCs w:val="24"/>
        </w:rPr>
      </w:pPr>
      <w:r>
        <w:rPr>
          <w:rFonts w:ascii="Times New Roman" w:hAnsi="Times New Roman" w:cs="Times New Roman"/>
          <w:b/>
          <w:sz w:val="24"/>
          <w:szCs w:val="24"/>
        </w:rPr>
        <w:t>Cevad Memduh Altar</w:t>
      </w:r>
    </w:p>
    <w:p w:rsidR="002F230E" w:rsidRDefault="002F230E" w:rsidP="002F230E">
      <w:pPr>
        <w:ind w:left="567" w:right="624"/>
        <w:contextualSpacing/>
        <w:jc w:val="center"/>
        <w:rPr>
          <w:rFonts w:ascii="Times New Roman" w:hAnsi="Times New Roman" w:cs="Times New Roman"/>
          <w:b/>
          <w:sz w:val="24"/>
          <w:szCs w:val="24"/>
        </w:rPr>
      </w:pPr>
    </w:p>
    <w:p w:rsidR="002F230E" w:rsidRDefault="002F230E" w:rsidP="002F230E">
      <w:pPr>
        <w:ind w:left="567" w:right="624"/>
        <w:contextualSpacing/>
        <w:jc w:val="center"/>
        <w:rPr>
          <w:rFonts w:ascii="Times New Roman" w:hAnsi="Times New Roman" w:cs="Times New Roman"/>
          <w:b/>
          <w:sz w:val="24"/>
          <w:szCs w:val="24"/>
        </w:rPr>
      </w:pPr>
    </w:p>
    <w:p w:rsidR="002F230E" w:rsidRDefault="002F230E" w:rsidP="002F230E">
      <w:pPr>
        <w:spacing w:before="100" w:beforeAutospacing="1" w:after="100" w:afterAutospacing="1"/>
        <w:ind w:left="567" w:right="-569" w:firstLine="851"/>
        <w:contextualSpacing/>
        <w:rPr>
          <w:rFonts w:ascii="Times New Roman" w:hAnsi="Times New Roman" w:cs="Times New Roman"/>
          <w:sz w:val="24"/>
          <w:szCs w:val="24"/>
        </w:rPr>
      </w:pPr>
      <w:r>
        <w:rPr>
          <w:rFonts w:ascii="Times New Roman" w:hAnsi="Times New Roman" w:cs="Times New Roman"/>
          <w:sz w:val="24"/>
          <w:szCs w:val="24"/>
        </w:rPr>
        <w:t xml:space="preserve">Müzik sanatında “deha” çok kere kendini geç hissettirir. Nitekim 1863’te tam 23 yaşına ulaşan meşhur Rus bestekârı </w:t>
      </w:r>
      <w:r w:rsidRPr="001F22CA">
        <w:rPr>
          <w:rFonts w:ascii="Times New Roman" w:hAnsi="Times New Roman" w:cs="Times New Roman"/>
          <w:b/>
          <w:sz w:val="24"/>
          <w:szCs w:val="24"/>
        </w:rPr>
        <w:t>Tschaikowsky</w:t>
      </w:r>
      <w:r>
        <w:rPr>
          <w:rFonts w:ascii="Times New Roman" w:hAnsi="Times New Roman" w:cs="Times New Roman"/>
          <w:sz w:val="24"/>
          <w:szCs w:val="24"/>
        </w:rPr>
        <w:t>, ailesinin ısrarı üzerine intisap ettiği</w:t>
      </w:r>
      <w:r w:rsidR="00832E9F">
        <w:rPr>
          <w:rFonts w:ascii="Times New Roman" w:hAnsi="Times New Roman" w:cs="Times New Roman"/>
          <w:sz w:val="24"/>
          <w:szCs w:val="24"/>
        </w:rPr>
        <w:t xml:space="preserve"> [girdiği]</w:t>
      </w:r>
      <w:r>
        <w:rPr>
          <w:rFonts w:ascii="Times New Roman" w:hAnsi="Times New Roman" w:cs="Times New Roman"/>
          <w:sz w:val="24"/>
          <w:szCs w:val="24"/>
        </w:rPr>
        <w:t xml:space="preserve"> hukuk mesleğine henüz intibak edememiş olduğu bir sırada, bugün Rus ihtilalinin yapıcısı Lenin’in adıyla anılan büyük Baltık şehrinde, yani bugünkü Leningrad’da yeniden bir tahsil hayatına atılmaya mecbur kalıyor; hukuku bırakıyor; müzisyen olmaya karar veriyor. Binaenaleyh bu hadise, “deha”nın kendini Tschaikowsky’de de geç hissettirmiş olması bakımından, şüphesiz mühim bir hadisedir. Demek genç</w:t>
      </w:r>
      <w:r w:rsidR="00832E9F">
        <w:rPr>
          <w:rFonts w:ascii="Times New Roman" w:hAnsi="Times New Roman" w:cs="Times New Roman"/>
          <w:sz w:val="24"/>
          <w:szCs w:val="24"/>
        </w:rPr>
        <w:t xml:space="preserve"> Tschaikowsky’nin daha hukuk tahsil ederken, devamlı tesirinden yakasını bir türlü kurtaramadığı müzik sanatına kendini büsbütün verebilmesi için, evvela hukuk tahsil etmes, lazımmış. Velhasıl, kahır yüzünden lütuf oluyor, hukuk gibi yüksek bir ilimle mücehhez [donatılmış] olan genç Tschaikowsky, 1863’te Leningrad’da kompozisyon tahsiline başlıyor; tam üç sene içinde bu yeni tahsilde de ihtisas yapan sanatkâr, nihayet Moskova konservatuvarına müzik nazariyatı profesörü olarak tayin ediliyor.</w:t>
      </w:r>
    </w:p>
    <w:p w:rsidR="00832E9F" w:rsidRDefault="00832E9F" w:rsidP="002F230E">
      <w:pPr>
        <w:spacing w:before="100" w:beforeAutospacing="1" w:after="100" w:afterAutospacing="1"/>
        <w:ind w:left="567" w:right="-569" w:firstLine="851"/>
        <w:contextualSpacing/>
        <w:rPr>
          <w:rFonts w:ascii="Times New Roman" w:hAnsi="Times New Roman" w:cs="Times New Roman"/>
          <w:sz w:val="24"/>
          <w:szCs w:val="24"/>
        </w:rPr>
      </w:pPr>
    </w:p>
    <w:p w:rsidR="00832E9F" w:rsidRDefault="00832E9F" w:rsidP="002F230E">
      <w:pPr>
        <w:spacing w:before="100" w:beforeAutospacing="1" w:after="100" w:afterAutospacing="1"/>
        <w:ind w:left="567" w:right="-569" w:firstLine="851"/>
        <w:contextualSpacing/>
        <w:rPr>
          <w:rFonts w:ascii="Times New Roman" w:hAnsi="Times New Roman" w:cs="Times New Roman"/>
          <w:sz w:val="24"/>
          <w:szCs w:val="24"/>
        </w:rPr>
      </w:pPr>
      <w:r w:rsidRPr="00832E9F">
        <w:rPr>
          <w:rFonts w:ascii="Times New Roman" w:hAnsi="Times New Roman" w:cs="Times New Roman"/>
          <w:b/>
          <w:sz w:val="24"/>
          <w:szCs w:val="24"/>
        </w:rPr>
        <w:t>Tschaikowsky</w:t>
      </w:r>
      <w:r>
        <w:rPr>
          <w:rFonts w:ascii="Times New Roman" w:hAnsi="Times New Roman" w:cs="Times New Roman"/>
          <w:sz w:val="24"/>
          <w:szCs w:val="24"/>
        </w:rPr>
        <w:t xml:space="preserve">’nin bu yeni mesleğinde en velut olduğu devir, 1872 yılı ile 1874 yılı arasına tesadüf eder. Sanatkâr bu devre içinde bir yandan “Rus Havadisleri” adlı günlük bir gazetenin yazı heyeti arasında tanınmış bir muharrir [yazar] olarak çalışmaktadır; diğer yandan büyük çapta senfonik eserler meydana getirme yolunda devamlı bir gayret sarf etmektedir. Nitekim tam o sıralarda Tschaikowsky bir sürü eser yazıyor; hocası </w:t>
      </w:r>
      <w:r w:rsidRPr="00832E9F">
        <w:rPr>
          <w:rFonts w:ascii="Times New Roman" w:hAnsi="Times New Roman" w:cs="Times New Roman"/>
          <w:b/>
          <w:i/>
          <w:sz w:val="24"/>
          <w:szCs w:val="24"/>
        </w:rPr>
        <w:t>Nicolai Rubinstein</w:t>
      </w:r>
      <w:r>
        <w:rPr>
          <w:rFonts w:ascii="Times New Roman" w:hAnsi="Times New Roman" w:cs="Times New Roman"/>
          <w:sz w:val="24"/>
          <w:szCs w:val="24"/>
        </w:rPr>
        <w:t xml:space="preserve">’ın tavsiyesiyle, tabi [basımcı] </w:t>
      </w:r>
      <w:r w:rsidRPr="00832E9F">
        <w:rPr>
          <w:rFonts w:ascii="Times New Roman" w:hAnsi="Times New Roman" w:cs="Times New Roman"/>
          <w:b/>
          <w:sz w:val="24"/>
          <w:szCs w:val="24"/>
        </w:rPr>
        <w:t>Jürgenson</w:t>
      </w:r>
      <w:r>
        <w:rPr>
          <w:rFonts w:ascii="Times New Roman" w:hAnsi="Times New Roman" w:cs="Times New Roman"/>
          <w:sz w:val="24"/>
          <w:szCs w:val="24"/>
        </w:rPr>
        <w:t xml:space="preserve"> ile tanışıyor; hattâ bu zat, sanatkârın bütün eserlerini hayatı boyunca basan bir “Tschaikowsky tabii” olarak bütün dünyada tanınıyor.</w:t>
      </w:r>
    </w:p>
    <w:p w:rsidR="00832E9F" w:rsidRDefault="00832E9F" w:rsidP="002F230E">
      <w:pPr>
        <w:spacing w:before="100" w:beforeAutospacing="1" w:after="100" w:afterAutospacing="1"/>
        <w:ind w:left="567" w:right="-569" w:firstLine="851"/>
        <w:contextualSpacing/>
        <w:rPr>
          <w:rFonts w:ascii="Times New Roman" w:hAnsi="Times New Roman" w:cs="Times New Roman"/>
          <w:sz w:val="24"/>
          <w:szCs w:val="24"/>
        </w:rPr>
      </w:pPr>
    </w:p>
    <w:p w:rsidR="00832E9F" w:rsidRDefault="00832E9F" w:rsidP="002F230E">
      <w:pPr>
        <w:spacing w:before="100" w:beforeAutospacing="1" w:after="100" w:afterAutospacing="1"/>
        <w:ind w:left="567" w:right="-569" w:firstLine="851"/>
        <w:contextualSpacing/>
        <w:rPr>
          <w:rFonts w:ascii="Times New Roman" w:hAnsi="Times New Roman" w:cs="Times New Roman"/>
          <w:sz w:val="24"/>
          <w:szCs w:val="24"/>
        </w:rPr>
      </w:pPr>
      <w:r>
        <w:rPr>
          <w:rFonts w:ascii="Times New Roman" w:hAnsi="Times New Roman" w:cs="Times New Roman"/>
          <w:sz w:val="24"/>
          <w:szCs w:val="24"/>
        </w:rPr>
        <w:t xml:space="preserve">İşte devamlı bir didinme içinde geçen bu devrenin 1875 yılına bağlandığı sıralarda, sanatkârın kafasını mütemadiyen işgal eden bir kompozisyon planı vardı ki, aynı yıl içinde tamamiyle tatbik edilebilen bu plan, </w:t>
      </w:r>
      <w:r w:rsidRPr="00832E9F">
        <w:rPr>
          <w:rFonts w:ascii="Times New Roman" w:hAnsi="Times New Roman" w:cs="Times New Roman"/>
          <w:b/>
          <w:sz w:val="24"/>
          <w:szCs w:val="24"/>
        </w:rPr>
        <w:t>Tschaikowsky</w:t>
      </w:r>
      <w:r>
        <w:rPr>
          <w:rFonts w:ascii="Times New Roman" w:hAnsi="Times New Roman" w:cs="Times New Roman"/>
          <w:sz w:val="24"/>
          <w:szCs w:val="24"/>
        </w:rPr>
        <w:t xml:space="preserve">’nin ilk konçertosu olan </w:t>
      </w:r>
      <w:r w:rsidRPr="00832E9F">
        <w:rPr>
          <w:rFonts w:ascii="Times New Roman" w:hAnsi="Times New Roman" w:cs="Times New Roman"/>
          <w:b/>
          <w:i/>
          <w:sz w:val="24"/>
          <w:szCs w:val="24"/>
        </w:rPr>
        <w:t>Si-bemol minör Piyano Konçertosu</w:t>
      </w:r>
      <w:r>
        <w:rPr>
          <w:rFonts w:ascii="Times New Roman" w:hAnsi="Times New Roman" w:cs="Times New Roman"/>
          <w:sz w:val="24"/>
          <w:szCs w:val="24"/>
        </w:rPr>
        <w:t xml:space="preserve">’nu meydana getirdi. Tschaikowsky bu konçertoyu, zamanında başta taşınmış bir piyanist olan </w:t>
      </w:r>
      <w:r w:rsidRPr="00832E9F">
        <w:rPr>
          <w:rFonts w:ascii="Times New Roman" w:hAnsi="Times New Roman" w:cs="Times New Roman"/>
          <w:b/>
          <w:sz w:val="24"/>
          <w:szCs w:val="24"/>
        </w:rPr>
        <w:t>Bülow</w:t>
      </w:r>
      <w:r>
        <w:rPr>
          <w:rFonts w:ascii="Times New Roman" w:hAnsi="Times New Roman" w:cs="Times New Roman"/>
          <w:sz w:val="24"/>
          <w:szCs w:val="24"/>
        </w:rPr>
        <w:t xml:space="preserve"> için kompoze etmişti. Nitekim eser, bu büyük piyanist sayesinde, az zamanda Avrupa’nın, hattâ Amerika’nın konser repertuvarlarında mühim bir mevki işgal etmeye muvaffak oldu. Bu konçertoyu Ankara’mızda, Devlet Konservatuvarı salonunda, tam 3 yıl önce bize ilk olarak dinleten, kıymetli piyanistimiz </w:t>
      </w:r>
      <w:r w:rsidRPr="00832E9F">
        <w:rPr>
          <w:rFonts w:ascii="Times New Roman" w:hAnsi="Times New Roman" w:cs="Times New Roman"/>
          <w:b/>
          <w:sz w:val="24"/>
          <w:szCs w:val="24"/>
        </w:rPr>
        <w:t>Ferhunde Erkin</w:t>
      </w:r>
      <w:r>
        <w:rPr>
          <w:rFonts w:ascii="Times New Roman" w:hAnsi="Times New Roman" w:cs="Times New Roman"/>
          <w:sz w:val="24"/>
          <w:szCs w:val="24"/>
        </w:rPr>
        <w:t xml:space="preserve">’dir. O zaman bu konçertoya </w:t>
      </w:r>
      <w:r w:rsidRPr="00832E9F">
        <w:rPr>
          <w:rFonts w:ascii="Times New Roman" w:hAnsi="Times New Roman" w:cs="Times New Roman"/>
          <w:b/>
          <w:sz w:val="24"/>
          <w:szCs w:val="24"/>
        </w:rPr>
        <w:t>Dr. Praetorius</w:t>
      </w:r>
      <w:r>
        <w:rPr>
          <w:rFonts w:ascii="Times New Roman" w:hAnsi="Times New Roman" w:cs="Times New Roman"/>
          <w:sz w:val="24"/>
          <w:szCs w:val="24"/>
        </w:rPr>
        <w:t>’un idaresi altında, Riyaseticumhur [Cumhurbaşkanlığı] Filarmonik Orkestrası refakat [eşlik] etmişti.</w:t>
      </w:r>
    </w:p>
    <w:p w:rsidR="001B67C3" w:rsidRDefault="001B67C3" w:rsidP="002F230E">
      <w:pPr>
        <w:spacing w:before="100" w:beforeAutospacing="1" w:after="100" w:afterAutospacing="1"/>
        <w:ind w:left="567" w:right="-569" w:firstLine="851"/>
        <w:contextualSpacing/>
        <w:rPr>
          <w:rFonts w:ascii="Times New Roman" w:hAnsi="Times New Roman" w:cs="Times New Roman"/>
          <w:sz w:val="24"/>
          <w:szCs w:val="24"/>
        </w:rPr>
      </w:pPr>
    </w:p>
    <w:p w:rsidR="001B67C3" w:rsidRDefault="001B67C3" w:rsidP="002F230E">
      <w:pPr>
        <w:spacing w:before="100" w:beforeAutospacing="1" w:after="100" w:afterAutospacing="1"/>
        <w:ind w:left="567" w:right="-569" w:firstLine="851"/>
        <w:contextualSpacing/>
        <w:rPr>
          <w:rFonts w:ascii="Times New Roman" w:hAnsi="Times New Roman" w:cs="Times New Roman"/>
          <w:sz w:val="24"/>
          <w:szCs w:val="24"/>
        </w:rPr>
      </w:pPr>
      <w:r>
        <w:rPr>
          <w:rFonts w:ascii="Times New Roman" w:hAnsi="Times New Roman" w:cs="Times New Roman"/>
          <w:sz w:val="24"/>
          <w:szCs w:val="24"/>
        </w:rPr>
        <w:t>Gelelim şimdi konçertonun kısaca tahliline: Üç ayr</w:t>
      </w:r>
      <w:r w:rsidR="000729F6">
        <w:rPr>
          <w:rFonts w:ascii="Times New Roman" w:hAnsi="Times New Roman" w:cs="Times New Roman"/>
          <w:sz w:val="24"/>
          <w:szCs w:val="24"/>
        </w:rPr>
        <w:t>ı</w:t>
      </w:r>
      <w:r>
        <w:rPr>
          <w:rFonts w:ascii="Times New Roman" w:hAnsi="Times New Roman" w:cs="Times New Roman"/>
          <w:sz w:val="24"/>
          <w:szCs w:val="24"/>
        </w:rPr>
        <w:t xml:space="preserve"> kısmı ihtiva eden bu konçertonun birinci kısmı, yani </w:t>
      </w:r>
      <w:r w:rsidRPr="000729F6">
        <w:rPr>
          <w:rFonts w:ascii="Times New Roman" w:hAnsi="Times New Roman" w:cs="Times New Roman"/>
          <w:i/>
          <w:sz w:val="24"/>
          <w:szCs w:val="24"/>
        </w:rPr>
        <w:t>“Andante non troppo e molto maestoso”</w:t>
      </w:r>
      <w:r>
        <w:rPr>
          <w:rFonts w:ascii="Times New Roman" w:hAnsi="Times New Roman" w:cs="Times New Roman"/>
          <w:sz w:val="24"/>
          <w:szCs w:val="24"/>
        </w:rPr>
        <w:t xml:space="preserve"> kısmı, mutlak </w:t>
      </w:r>
      <w:r>
        <w:rPr>
          <w:rFonts w:ascii="Times New Roman" w:hAnsi="Times New Roman" w:cs="Times New Roman"/>
          <w:sz w:val="24"/>
          <w:szCs w:val="24"/>
        </w:rPr>
        <w:lastRenderedPageBreak/>
        <w:t>akorlar halinde başlar; sonsuz bir büyüklük, bir ihtişam içinde akar gider. Konçertonun bu ilk parçasını dinleyenler, Tschaikowsky’ye has lirik mizaca, eserin ağır parçası olan orta kısımda değil de, bilakis ilk kısmın ilk temasında tesadüf ederler; böylelikle Tschaikowsky’nin, piyano konçertosu edebiyatında mühim bir yenilik yapmış olduğuna hayretle inanırlar; çünkü bu neviden lirik temalar, Tschaikowsky gelinceye kadar, piyano konertolarının daha ziyade orta kısımlarına inhisar ederdi.</w:t>
      </w:r>
    </w:p>
    <w:p w:rsidR="000729F6" w:rsidRDefault="000729F6" w:rsidP="002F230E">
      <w:pPr>
        <w:spacing w:before="100" w:beforeAutospacing="1" w:after="100" w:afterAutospacing="1"/>
        <w:ind w:left="567" w:right="-569" w:firstLine="851"/>
        <w:contextualSpacing/>
        <w:rPr>
          <w:rFonts w:ascii="Times New Roman" w:hAnsi="Times New Roman" w:cs="Times New Roman"/>
          <w:sz w:val="24"/>
          <w:szCs w:val="24"/>
        </w:rPr>
      </w:pPr>
    </w:p>
    <w:p w:rsidR="000729F6" w:rsidRDefault="000729F6" w:rsidP="002F230E">
      <w:pPr>
        <w:spacing w:before="100" w:beforeAutospacing="1" w:after="100" w:afterAutospacing="1"/>
        <w:ind w:left="567" w:right="-569" w:firstLine="851"/>
        <w:contextualSpacing/>
        <w:rPr>
          <w:rFonts w:ascii="Times New Roman" w:hAnsi="Times New Roman" w:cs="Times New Roman"/>
          <w:sz w:val="24"/>
          <w:szCs w:val="24"/>
        </w:rPr>
      </w:pPr>
      <w:r>
        <w:rPr>
          <w:rFonts w:ascii="Times New Roman" w:hAnsi="Times New Roman" w:cs="Times New Roman"/>
          <w:sz w:val="24"/>
          <w:szCs w:val="24"/>
        </w:rPr>
        <w:t xml:space="preserve">Konçertonun ikinci parçası olan </w:t>
      </w:r>
      <w:r w:rsidRPr="000729F6">
        <w:rPr>
          <w:rFonts w:ascii="Times New Roman" w:hAnsi="Times New Roman" w:cs="Times New Roman"/>
          <w:i/>
          <w:sz w:val="24"/>
          <w:szCs w:val="24"/>
        </w:rPr>
        <w:t>“Andante semplice”</w:t>
      </w:r>
      <w:r>
        <w:rPr>
          <w:rFonts w:ascii="Times New Roman" w:hAnsi="Times New Roman" w:cs="Times New Roman"/>
          <w:sz w:val="24"/>
          <w:szCs w:val="24"/>
        </w:rPr>
        <w:t xml:space="preserve"> kısmına gelince: Bu kısma hakim olan narin, içli bir tema, eserlerinde sırf kendi duyuşlarını anlatmış, kendi görüşlerini açığa vurmaya çalışmış olan Tschaikowsky’deki nev’i şahsına münhasır [kendine özgü] romantik mizaca insanı hayran bırakır. Bu kısımdaki sakin tema, sanki sonsuz bir hülyanın ifadesidir.</w:t>
      </w:r>
    </w:p>
    <w:p w:rsidR="000729F6" w:rsidRDefault="000729F6" w:rsidP="002F230E">
      <w:pPr>
        <w:spacing w:before="100" w:beforeAutospacing="1" w:after="100" w:afterAutospacing="1"/>
        <w:ind w:left="567" w:right="-569" w:firstLine="851"/>
        <w:contextualSpacing/>
        <w:rPr>
          <w:rFonts w:ascii="Times New Roman" w:hAnsi="Times New Roman" w:cs="Times New Roman"/>
          <w:sz w:val="24"/>
          <w:szCs w:val="24"/>
        </w:rPr>
      </w:pPr>
    </w:p>
    <w:p w:rsidR="000729F6" w:rsidRDefault="000729F6" w:rsidP="002F230E">
      <w:pPr>
        <w:spacing w:before="100" w:beforeAutospacing="1" w:after="100" w:afterAutospacing="1"/>
        <w:ind w:left="567" w:right="-569" w:firstLine="851"/>
        <w:contextualSpacing/>
        <w:rPr>
          <w:rFonts w:ascii="Times New Roman" w:hAnsi="Times New Roman" w:cs="Times New Roman"/>
          <w:sz w:val="24"/>
          <w:szCs w:val="24"/>
        </w:rPr>
      </w:pPr>
      <w:r>
        <w:rPr>
          <w:rFonts w:ascii="Times New Roman" w:hAnsi="Times New Roman" w:cs="Times New Roman"/>
          <w:sz w:val="24"/>
          <w:szCs w:val="24"/>
        </w:rPr>
        <w:t xml:space="preserve">Eserin üçüncü ve son parçası olan </w:t>
      </w:r>
      <w:r w:rsidRPr="000729F6">
        <w:rPr>
          <w:rFonts w:ascii="Times New Roman" w:hAnsi="Times New Roman" w:cs="Times New Roman"/>
          <w:i/>
          <w:sz w:val="24"/>
          <w:szCs w:val="24"/>
        </w:rPr>
        <w:t xml:space="preserve">“Allegro con fuoco” </w:t>
      </w:r>
      <w:r>
        <w:rPr>
          <w:rFonts w:ascii="Times New Roman" w:hAnsi="Times New Roman" w:cs="Times New Roman"/>
          <w:sz w:val="24"/>
          <w:szCs w:val="24"/>
        </w:rPr>
        <w:t>kısmı, alabildiğine ritmik bir kıvraklık içinde akıp giden, Tschaikowsky’ye has bir heyecanın ifadesidir. Hattâ gitgide gene Tschaikowsky’vari bir lirizme kalb olan [dönüşen] bu heyecan, şiddetli aksanlar halinde, eserin sonuna kadar yürür.</w:t>
      </w:r>
    </w:p>
    <w:p w:rsidR="000729F6" w:rsidRDefault="000729F6" w:rsidP="002F230E">
      <w:pPr>
        <w:spacing w:before="100" w:beforeAutospacing="1" w:after="100" w:afterAutospacing="1"/>
        <w:ind w:left="567" w:right="-569" w:firstLine="851"/>
        <w:contextualSpacing/>
        <w:rPr>
          <w:rFonts w:ascii="Times New Roman" w:hAnsi="Times New Roman" w:cs="Times New Roman"/>
          <w:sz w:val="24"/>
          <w:szCs w:val="24"/>
        </w:rPr>
      </w:pPr>
    </w:p>
    <w:p w:rsidR="000729F6" w:rsidRDefault="000729F6" w:rsidP="002F230E">
      <w:pPr>
        <w:spacing w:before="100" w:beforeAutospacing="1" w:after="100" w:afterAutospacing="1"/>
        <w:ind w:left="567" w:right="-569" w:firstLine="851"/>
        <w:contextualSpacing/>
        <w:rPr>
          <w:rFonts w:ascii="Times New Roman" w:hAnsi="Times New Roman" w:cs="Times New Roman"/>
          <w:sz w:val="24"/>
          <w:szCs w:val="24"/>
        </w:rPr>
      </w:pPr>
      <w:r>
        <w:rPr>
          <w:rFonts w:ascii="Times New Roman" w:hAnsi="Times New Roman" w:cs="Times New Roman"/>
          <w:sz w:val="24"/>
          <w:szCs w:val="24"/>
        </w:rPr>
        <w:t>Tschaikowsky, bu güzel eseriyle, hakiki lirizme en doğru örneği vermiştir.</w:t>
      </w:r>
    </w:p>
    <w:p w:rsidR="000729F6" w:rsidRDefault="000729F6" w:rsidP="002F230E">
      <w:pPr>
        <w:spacing w:before="100" w:beforeAutospacing="1" w:after="100" w:afterAutospacing="1"/>
        <w:ind w:left="567" w:right="-569" w:firstLine="851"/>
        <w:contextualSpacing/>
        <w:rPr>
          <w:rFonts w:ascii="Times New Roman" w:hAnsi="Times New Roman" w:cs="Times New Roman"/>
          <w:sz w:val="24"/>
          <w:szCs w:val="24"/>
        </w:rPr>
      </w:pPr>
    </w:p>
    <w:p w:rsidR="000729F6" w:rsidRDefault="000729F6" w:rsidP="002F230E">
      <w:pPr>
        <w:spacing w:before="100" w:beforeAutospacing="1" w:after="100" w:afterAutospacing="1"/>
        <w:ind w:left="567" w:right="-569" w:firstLine="851"/>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7.11.1944</w:t>
      </w:r>
    </w:p>
    <w:p w:rsidR="000729F6" w:rsidRDefault="000729F6" w:rsidP="002F230E">
      <w:pPr>
        <w:spacing w:before="100" w:beforeAutospacing="1" w:after="100" w:afterAutospacing="1"/>
        <w:ind w:left="567" w:right="-569" w:firstLine="851"/>
        <w:contextualSpacing/>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Cevad Memduh Altar</w:t>
      </w:r>
    </w:p>
    <w:p w:rsidR="000729F6" w:rsidRPr="000729F6" w:rsidRDefault="000729F6" w:rsidP="002F230E">
      <w:pPr>
        <w:spacing w:before="100" w:beforeAutospacing="1" w:after="100" w:afterAutospacing="1"/>
        <w:ind w:left="567" w:right="-569" w:firstLine="851"/>
        <w:contextualSpacing/>
        <w:rPr>
          <w:rFonts w:ascii="Times New Roman" w:hAnsi="Times New Roman" w:cs="Times New Roman"/>
          <w:i/>
          <w:sz w:val="24"/>
          <w:szCs w:val="24"/>
        </w:rPr>
      </w:pPr>
    </w:p>
    <w:p w:rsidR="002F230E" w:rsidRPr="002F230E" w:rsidRDefault="002F230E" w:rsidP="002F230E">
      <w:pPr>
        <w:ind w:left="567" w:right="624"/>
        <w:contextualSpacing/>
        <w:rPr>
          <w:rFonts w:ascii="Times New Roman" w:hAnsi="Times New Roman" w:cs="Times New Roman"/>
          <w:sz w:val="24"/>
          <w:szCs w:val="24"/>
        </w:rPr>
      </w:pPr>
    </w:p>
    <w:p w:rsidR="002F230E" w:rsidRDefault="002F230E" w:rsidP="002F230E">
      <w:pPr>
        <w:ind w:left="567" w:right="624"/>
        <w:rPr>
          <w:rFonts w:ascii="Times New Roman" w:hAnsi="Times New Roman" w:cs="Times New Roman"/>
          <w:i/>
          <w:sz w:val="24"/>
          <w:szCs w:val="24"/>
        </w:rPr>
      </w:pPr>
    </w:p>
    <w:p w:rsidR="002F230E" w:rsidRPr="002F230E" w:rsidRDefault="002F230E" w:rsidP="002F230E">
      <w:pPr>
        <w:ind w:left="567" w:right="624"/>
        <w:rPr>
          <w:rFonts w:ascii="Times New Roman" w:hAnsi="Times New Roman" w:cs="Times New Roman"/>
          <w:i/>
          <w:sz w:val="24"/>
          <w:szCs w:val="24"/>
        </w:rPr>
      </w:pPr>
    </w:p>
    <w:sectPr w:rsidR="002F230E" w:rsidRPr="002F230E" w:rsidSect="002F230E">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proofState w:spelling="clean"/>
  <w:defaultTabStop w:val="708"/>
  <w:hyphenationZone w:val="425"/>
  <w:characterSpacingControl w:val="doNotCompress"/>
  <w:compat/>
  <w:rsids>
    <w:rsidRoot w:val="002F230E"/>
    <w:rsid w:val="000729F6"/>
    <w:rsid w:val="001B67C3"/>
    <w:rsid w:val="001F22CA"/>
    <w:rsid w:val="002F230E"/>
    <w:rsid w:val="00675DDB"/>
    <w:rsid w:val="00832E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23DD-CD39-4676-AE65-F14C64D1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5</cp:revision>
  <dcterms:created xsi:type="dcterms:W3CDTF">2017-04-11T05:44:00Z</dcterms:created>
  <dcterms:modified xsi:type="dcterms:W3CDTF">2017-04-11T06:42:00Z</dcterms:modified>
</cp:coreProperties>
</file>